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498CF1" w:themeColor="background2" w:themeShade="BF"/>
  <w:body>
    <w:p w14:paraId="5CE19183" w14:textId="2950623D" w:rsidR="00E8322E" w:rsidRDefault="00E310F7" w:rsidP="00316692">
      <w:pPr>
        <w:jc w:val="center"/>
      </w:pPr>
      <w:r w:rsidRPr="00E310F7">
        <w:rPr>
          <w:noProof/>
        </w:rPr>
        <w:drawing>
          <wp:inline distT="0" distB="0" distL="0" distR="0" wp14:anchorId="4F497BA0" wp14:editId="4B4EA97F">
            <wp:extent cx="6645910" cy="1358900"/>
            <wp:effectExtent l="0" t="0" r="0" b="0"/>
            <wp:docPr id="120372943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1358900"/>
                    </a:xfrm>
                    <a:prstGeom prst="rect">
                      <a:avLst/>
                    </a:prstGeom>
                    <a:noFill/>
                    <a:ln>
                      <a:noFill/>
                    </a:ln>
                  </pic:spPr>
                </pic:pic>
              </a:graphicData>
            </a:graphic>
          </wp:inline>
        </w:drawing>
      </w:r>
    </w:p>
    <w:p w14:paraId="7447DB82" w14:textId="77777777" w:rsidR="00C460B5" w:rsidRDefault="00C460B5" w:rsidP="00D84103">
      <w:pPr>
        <w:jc w:val="center"/>
        <w:rPr>
          <w:noProof/>
        </w:rPr>
      </w:pPr>
      <w:bookmarkStart w:id="0" w:name="_Hlk191100798"/>
      <w:bookmarkEnd w:id="0"/>
    </w:p>
    <w:p w14:paraId="032C9368" w14:textId="2AC61D86" w:rsidR="00C460B5" w:rsidRPr="007A792A" w:rsidRDefault="007A792A" w:rsidP="00D84103">
      <w:pPr>
        <w:jc w:val="center"/>
      </w:pPr>
      <w:r>
        <w:rPr>
          <w:b/>
          <w:bCs/>
          <w:noProof/>
          <w:sz w:val="56"/>
          <w:szCs w:val="56"/>
        </w:rPr>
        <w:t xml:space="preserve">SYNDROME DE </w:t>
      </w:r>
      <w:r w:rsidRPr="007A792A">
        <w:rPr>
          <w:b/>
          <w:bCs/>
          <w:noProof/>
          <w:sz w:val="56"/>
          <w:szCs w:val="56"/>
        </w:rPr>
        <w:t>Gougerot-Sjögren</w:t>
      </w:r>
      <w:r>
        <w:rPr>
          <w:b/>
          <w:bCs/>
          <w:noProof/>
          <w:sz w:val="56"/>
          <w:szCs w:val="56"/>
        </w:rPr>
        <w:t xml:space="preserve"> </w:t>
      </w:r>
    </w:p>
    <w:p w14:paraId="1EA6DD15" w14:textId="5D661EE7" w:rsidR="00183AE4" w:rsidRDefault="00505D0E" w:rsidP="00781177">
      <w:pPr>
        <w:jc w:val="center"/>
        <w:rPr>
          <w:noProof/>
        </w:rPr>
      </w:pPr>
      <w:r w:rsidRPr="00505D0E">
        <w:rPr>
          <w:noProof/>
        </w:rPr>
        <w:t>Le syndrome de Gougerot-Sjögren est une maladie auto-immune et il se produit lorsque le système immunitaire  attaque et détruit les glandes qui produisent des sécrétions dans l’organisme, notamment les glandes salivaires et lacrymales. Ce qui nous amène à la sécheresse (oculaire, buccale)</w:t>
      </w:r>
      <w:r w:rsidRPr="00505D0E">
        <w:rPr>
          <w:noProof/>
        </w:rPr>
        <w:br/>
      </w:r>
      <w:r w:rsidRPr="00505D0E">
        <w:rPr>
          <w:noProof/>
        </w:rPr>
        <w:br/>
        <w:t>Cependant, la maladie peut  s’attaquer à d’autres glandes, organes et tissus, comme le vagin, l’estomac, les articulations, les muscles, les nerfs, les reins, la thyroïde, etc.</w:t>
      </w:r>
      <w:r w:rsidRPr="00505D0E">
        <w:rPr>
          <w:noProof/>
        </w:rPr>
        <w:br/>
      </w:r>
      <w:r w:rsidRPr="00505D0E">
        <w:rPr>
          <w:noProof/>
        </w:rPr>
        <w:br/>
        <w:t>Parfois, le symptôme révélateur du syndrome de  Gougerot Sjögren  c'est le  gonflement des glandes parotides,  phénomène de Raynaud ou purpura. C'est plus rare mais pas à exclure.</w:t>
      </w:r>
      <w:r w:rsidR="00BA0535" w:rsidRPr="006C5A8A">
        <w:rPr>
          <w:noProof/>
          <w:sz w:val="56"/>
          <w:szCs w:val="56"/>
        </w:rPr>
        <w:drawing>
          <wp:anchor distT="0" distB="0" distL="114300" distR="114300" simplePos="0" relativeHeight="251658240" behindDoc="1" locked="0" layoutInCell="1" allowOverlap="1" wp14:anchorId="39913FC3" wp14:editId="3F553A7F">
            <wp:simplePos x="0" y="0"/>
            <wp:positionH relativeFrom="margin">
              <wp:posOffset>-1270</wp:posOffset>
            </wp:positionH>
            <wp:positionV relativeFrom="paragraph">
              <wp:posOffset>415925</wp:posOffset>
            </wp:positionV>
            <wp:extent cx="6645275" cy="5813425"/>
            <wp:effectExtent l="0" t="0" r="3175" b="34925"/>
            <wp:wrapNone/>
            <wp:docPr id="977715349"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p>
    <w:p w14:paraId="7444A8A0" w14:textId="6EC51210" w:rsidR="00123A01" w:rsidRDefault="00F57FBF" w:rsidP="00F57FBF">
      <w:pPr>
        <w:ind w:firstLine="708"/>
        <w:jc w:val="center"/>
        <w:rPr>
          <w:noProof/>
        </w:rPr>
      </w:pPr>
      <w:r w:rsidRPr="00DE6EA1">
        <w:rPr>
          <w:b/>
          <w:bCs/>
          <w:noProof/>
          <w:sz w:val="48"/>
          <w:szCs w:val="48"/>
        </w:rPr>
        <w:t>COMMENT EST POSE LE DIAGNOSTIC ?</w:t>
      </w:r>
      <w:r w:rsidRPr="00F57FBF">
        <w:rPr>
          <w:b/>
          <w:bCs/>
          <w:noProof/>
          <w:sz w:val="28"/>
          <w:szCs w:val="28"/>
        </w:rPr>
        <w:br/>
      </w:r>
      <w:r w:rsidRPr="00F57FBF">
        <w:rPr>
          <w:noProof/>
        </w:rPr>
        <w:br/>
        <w:t>- Soit par biopsie des glandes salivaires.</w:t>
      </w:r>
      <w:r w:rsidRPr="00F57FBF">
        <w:rPr>
          <w:noProof/>
        </w:rPr>
        <w:br/>
        <w:t>Elle est effectuée par un O.R.L (Oto-Rhino-Laryngologiste). Elle consiste à  une petite incision à l'intérieur de la lèvre inférieure, après avoir était anesthésiée localement, puis un prélèvement de 4 ou 5 glandes salivaires. Quelques petits points qui se dissiperont tout seuls et une attente de quinze  jours à trois semaines pour le résultat. Et tout ceci est indolore. (Je confirme, j'en est déjà fait une)</w:t>
      </w:r>
      <w:r w:rsidRPr="00F57FBF">
        <w:rPr>
          <w:noProof/>
        </w:rPr>
        <w:br/>
      </w:r>
      <w:r w:rsidRPr="00F57FBF">
        <w:rPr>
          <w:noProof/>
        </w:rPr>
        <w:br/>
        <w:t>- Soit par certains tests oculaire.</w:t>
      </w:r>
      <w:r w:rsidRPr="00F57FBF">
        <w:rPr>
          <w:noProof/>
        </w:rPr>
        <w:br/>
        <w:t>Il est effectué par un Ophtalmologue. On place un papier buvard calibré dans le cul-de-sac lacrymal inférieur avec ou sans anesthésie locale. Celui ci permet devaluer la quantité de larmes dans l'œil (test de Schirmer). Voir image ci-dessous. </w:t>
      </w:r>
      <w:r w:rsidRPr="00F57FBF">
        <w:rPr>
          <w:noProof/>
        </w:rPr>
        <w:br/>
      </w:r>
      <w:r w:rsidRPr="00F57FBF">
        <w:rPr>
          <w:noProof/>
        </w:rPr>
        <w:br/>
        <w:t>- Soit par un test buccal qui consiste à mesurer  le débit (flux) salivaire (crachats répétés dans un tube pendant 5 minutes).</w:t>
      </w:r>
      <w:r w:rsidRPr="00F57FBF">
        <w:rPr>
          <w:noProof/>
        </w:rPr>
        <w:br/>
      </w:r>
      <w:r w:rsidRPr="00F57FBF">
        <w:rPr>
          <w:noProof/>
        </w:rPr>
        <w:br/>
        <w:t>- Soit par un bilan sanguin pour détecter la présence d'anticorps anti-SSa ou anti-SSb.</w:t>
      </w:r>
      <w:r w:rsidRPr="00F57FBF">
        <w:rPr>
          <w:noProof/>
        </w:rPr>
        <w:br/>
      </w:r>
      <w:r w:rsidRPr="00F57FBF">
        <w:rPr>
          <w:noProof/>
        </w:rPr>
        <w:br/>
        <w:t>Et si les glandes parotides sont gonflées, alors un examen radiologique s'impose.</w:t>
      </w:r>
    </w:p>
    <w:p w14:paraId="5A62DB7E" w14:textId="77777777" w:rsidR="00183AE4" w:rsidRDefault="00183AE4" w:rsidP="00DE6EA1">
      <w:pPr>
        <w:rPr>
          <w:noProof/>
        </w:rPr>
      </w:pPr>
    </w:p>
    <w:p w14:paraId="122613AE" w14:textId="5695A1E1" w:rsidR="00F07FA7" w:rsidRDefault="00F07FA7" w:rsidP="00096B7B">
      <w:pPr>
        <w:jc w:val="center"/>
        <w:rPr>
          <w:noProof/>
        </w:rPr>
      </w:pPr>
      <w:r>
        <w:rPr>
          <w:b/>
          <w:bCs/>
          <w:noProof/>
          <w:sz w:val="48"/>
          <w:szCs w:val="48"/>
        </w:rPr>
        <w:drawing>
          <wp:inline distT="0" distB="0" distL="0" distR="0" wp14:anchorId="129E5CF3" wp14:editId="25F633AA">
            <wp:extent cx="6645275" cy="1359535"/>
            <wp:effectExtent l="0" t="0" r="3175" b="0"/>
            <wp:docPr id="987190589" name="Image 1" descr="Une image contenant capture d’écran,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90589" name="Image 1" descr="Une image contenant capture d’écran, Graphique, graphism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275" cy="1359535"/>
                    </a:xfrm>
                    <a:prstGeom prst="rect">
                      <a:avLst/>
                    </a:prstGeom>
                    <a:noFill/>
                  </pic:spPr>
                </pic:pic>
              </a:graphicData>
            </a:graphic>
          </wp:inline>
        </w:drawing>
      </w:r>
    </w:p>
    <w:p w14:paraId="3EE3E68F" w14:textId="77777777" w:rsidR="00D84103" w:rsidRPr="00096B7B" w:rsidRDefault="009333D5" w:rsidP="005D55EB">
      <w:pPr>
        <w:jc w:val="center"/>
        <w:rPr>
          <w:b/>
          <w:bCs/>
          <w:noProof/>
          <w:sz w:val="48"/>
          <w:szCs w:val="48"/>
        </w:rPr>
      </w:pPr>
      <w:r w:rsidRPr="006C5A8A">
        <w:rPr>
          <w:noProof/>
          <w:sz w:val="56"/>
          <w:szCs w:val="56"/>
        </w:rPr>
        <w:drawing>
          <wp:anchor distT="0" distB="0" distL="114300" distR="114300" simplePos="0" relativeHeight="251658241" behindDoc="1" locked="0" layoutInCell="1" allowOverlap="1" wp14:anchorId="0480F15E" wp14:editId="31450172">
            <wp:simplePos x="0" y="0"/>
            <wp:positionH relativeFrom="margin">
              <wp:posOffset>213360</wp:posOffset>
            </wp:positionH>
            <wp:positionV relativeFrom="paragraph">
              <wp:posOffset>14605</wp:posOffset>
            </wp:positionV>
            <wp:extent cx="6645275" cy="5813425"/>
            <wp:effectExtent l="0" t="0" r="3175" b="34925"/>
            <wp:wrapNone/>
            <wp:docPr id="1111774427" name="Image 1" descr="Une image contenant texte, Graphique, Police, écriture manuscr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35766" name="Image 1" descr="Une image contenant texte, Graphique, Police, écriture manuscrite&#10;&#10;Le contenu généré par l’IA peut être incorrect."/>
                    <pic:cNvPicPr/>
                  </pic:nvPicPr>
                  <pic:blipFill>
                    <a:blip r:embed="rId8" cstate="print">
                      <a:alphaModFix amt="9000"/>
                      <a:extLst>
                        <a:ext uri="{28A0092B-C50C-407E-A947-70E740481C1C}">
                          <a14:useLocalDpi xmlns:a14="http://schemas.microsoft.com/office/drawing/2010/main" val="0"/>
                        </a:ext>
                      </a:extLst>
                    </a:blip>
                    <a:stretch>
                      <a:fillRect/>
                    </a:stretch>
                  </pic:blipFill>
                  <pic:spPr>
                    <a:xfrm>
                      <a:off x="0" y="0"/>
                      <a:ext cx="6645275" cy="5813425"/>
                    </a:xfrm>
                    <a:prstGeom prst="rect">
                      <a:avLst/>
                    </a:prstGeom>
                    <a:effectLst>
                      <a:outerShdw dist="2489200" dir="5400000" sx="99000" sy="99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005D55EB">
        <w:rPr>
          <w:b/>
          <w:bCs/>
          <w:noProof/>
          <w:sz w:val="48"/>
          <w:szCs w:val="48"/>
        </w:rPr>
        <w:t xml:space="preserve">TRAITEMENT </w:t>
      </w:r>
      <w:r w:rsidR="001707C7">
        <w:rPr>
          <w:b/>
          <w:bCs/>
          <w:noProof/>
          <w:sz w:val="48"/>
          <w:szCs w:val="48"/>
        </w:rPr>
        <w:t>?</w:t>
      </w:r>
    </w:p>
    <w:p w14:paraId="7D8538F3" w14:textId="05AFD4AE" w:rsidR="00D50EB4" w:rsidRDefault="00E8322E" w:rsidP="00D84103">
      <w:pPr>
        <w:jc w:val="center"/>
        <w:rPr>
          <w:b/>
          <w:bCs/>
          <w:noProof/>
        </w:rPr>
      </w:pPr>
      <w:r w:rsidRPr="00D50EB4">
        <w:rPr>
          <w:noProof/>
        </w:rPr>
        <w:t> </w:t>
      </w:r>
      <w:r w:rsidR="00D50EB4" w:rsidRPr="00D50EB4">
        <w:rPr>
          <w:noProof/>
        </w:rPr>
        <w:t>En ce qui concerne les traitements, ils seront établis en collaboration avec tous les spécialistes concernéset selon  les symptômes.  Rhumatologue,  O.R.L., gynécologue, ophtalmologue, etc..c'est du moins de cette manière que procède mon rhumatologue.</w:t>
      </w:r>
      <w:r w:rsidR="00D50EB4" w:rsidRPr="00D50EB4">
        <w:rPr>
          <w:noProof/>
        </w:rPr>
        <w:br/>
      </w:r>
      <w:r w:rsidR="00D50EB4" w:rsidRPr="00D50EB4">
        <w:rPr>
          <w:noProof/>
        </w:rPr>
        <w:br/>
        <w:t>Pour la sécheresse oculaire ou buccale, et atteinte légère,  il prescrit souvent du collyre ou des substituts salivaires. Pour le reste cela dépend des symptômes et si le syndrome de Gougerot-Sjögren est associé ou non à une autre pathologie</w:t>
      </w:r>
      <w:r w:rsidR="00D50EB4" w:rsidRPr="00D50EB4">
        <w:rPr>
          <w:b/>
          <w:bCs/>
          <w:noProof/>
        </w:rPr>
        <w:t>.</w:t>
      </w:r>
    </w:p>
    <w:p w14:paraId="4AA5B669" w14:textId="3667E113" w:rsidR="000E33F4" w:rsidRPr="000E33F4" w:rsidRDefault="000E33F4" w:rsidP="00D84103">
      <w:pPr>
        <w:jc w:val="center"/>
        <w:rPr>
          <w:noProof/>
        </w:rPr>
      </w:pPr>
      <w:r w:rsidRPr="000E33F4">
        <w:rPr>
          <w:noProof/>
        </w:rPr>
        <w:t>Pour les atteintes articulaires, les corticoïdes et plusieurs traitements immunosuppresseurs (rituximab, azathioprine…)</w:t>
      </w:r>
    </w:p>
    <w:p w14:paraId="475E2D46" w14:textId="2D891098" w:rsidR="00911D51" w:rsidRPr="007E0039" w:rsidRDefault="00E8322E" w:rsidP="00776293">
      <w:pPr>
        <w:rPr>
          <w:color w:val="FF0000"/>
        </w:rPr>
      </w:pPr>
      <w:r w:rsidRPr="007E0039">
        <w:rPr>
          <w:b/>
          <w:bCs/>
          <w:noProof/>
          <w:color w:val="FF0000"/>
        </w:rPr>
        <w:t xml:space="preserve"> </w:t>
      </w:r>
    </w:p>
    <w:p w14:paraId="290AC7F3" w14:textId="7627EF63" w:rsidR="00D53CA5" w:rsidRDefault="00E56AB4" w:rsidP="00901A9E">
      <w:pPr>
        <w:jc w:val="center"/>
        <w:rPr>
          <w:noProof/>
        </w:rPr>
      </w:pPr>
      <w:r w:rsidRPr="005D43CE">
        <w:rPr>
          <w:rFonts w:eastAsia="Times New Roman"/>
          <w:b/>
          <w:bCs/>
          <w:sz w:val="40"/>
          <w:szCs w:val="40"/>
        </w:rPr>
        <w:t>CONSEILS PERSONNELS</w:t>
      </w:r>
    </w:p>
    <w:p w14:paraId="532AE824" w14:textId="61D6FD78" w:rsidR="00776293" w:rsidRDefault="00D00E8B" w:rsidP="00096B7B">
      <w:pPr>
        <w:jc w:val="center"/>
        <w:rPr>
          <w:noProof/>
        </w:rPr>
      </w:pPr>
      <w:r>
        <w:rPr>
          <w:noProof/>
        </w:rPr>
        <w:t>Pour la sécheresse occulaire, j’ai recours aux larmes artificielles prescrites par mon ophtalmologue.</w:t>
      </w:r>
    </w:p>
    <w:p w14:paraId="56CF36A2" w14:textId="3D2972CF" w:rsidR="00D00E8B" w:rsidRDefault="00D00E8B" w:rsidP="00096B7B">
      <w:pPr>
        <w:jc w:val="center"/>
        <w:rPr>
          <w:noProof/>
        </w:rPr>
      </w:pPr>
      <w:r>
        <w:rPr>
          <w:noProof/>
        </w:rPr>
        <w:t xml:space="preserve">Je m’hydrate le plus possible pour éviter la sécheresse buccale. </w:t>
      </w:r>
      <w:r w:rsidR="006262D9">
        <w:rPr>
          <w:noProof/>
        </w:rPr>
        <w:t>J’ai toujours avec moi une bouteille d’eau.</w:t>
      </w:r>
    </w:p>
    <w:p w14:paraId="27A20F44" w14:textId="699DD485" w:rsidR="006262D9" w:rsidRDefault="006262D9" w:rsidP="00096B7B">
      <w:pPr>
        <w:jc w:val="center"/>
        <w:rPr>
          <w:noProof/>
        </w:rPr>
      </w:pPr>
      <w:r>
        <w:rPr>
          <w:noProof/>
        </w:rPr>
        <w:t xml:space="preserve">Pour </w:t>
      </w:r>
      <w:r w:rsidR="00E91EE4">
        <w:rPr>
          <w:noProof/>
        </w:rPr>
        <w:t xml:space="preserve">la fatigue que ce syndrome procure, tout comme les autres maladies chroniques, je continue </w:t>
      </w:r>
      <w:r w:rsidR="00B935B0">
        <w:rPr>
          <w:noProof/>
        </w:rPr>
        <w:t>les activités physiques comme la marche douce, la natation, et les séances de kinésithérapie.</w:t>
      </w:r>
    </w:p>
    <w:p w14:paraId="365EC9AB" w14:textId="77777777" w:rsidR="00776293" w:rsidRDefault="00776293" w:rsidP="00096B7B">
      <w:pPr>
        <w:jc w:val="center"/>
        <w:rPr>
          <w:noProof/>
        </w:rPr>
      </w:pPr>
    </w:p>
    <w:p w14:paraId="7A243EEA" w14:textId="30187C21" w:rsidR="00236490" w:rsidRDefault="00DA5DDD" w:rsidP="00096B7B">
      <w:pPr>
        <w:jc w:val="center"/>
        <w:rPr>
          <w:rFonts w:ascii="Blackadder ITC" w:eastAsia="Times New Roman" w:hAnsi="Blackadder ITC"/>
          <w:b/>
          <w:bCs/>
          <w:i/>
          <w:iCs/>
          <w:sz w:val="22"/>
          <w:szCs w:val="22"/>
        </w:rPr>
      </w:pPr>
      <w:r w:rsidRPr="009808D2">
        <w:rPr>
          <w:rFonts w:ascii="Blackadder ITC" w:eastAsia="Times New Roman" w:hAnsi="Blackadder ITC"/>
          <w:b/>
          <w:bCs/>
          <w:i/>
          <w:iCs/>
          <w:sz w:val="52"/>
          <w:szCs w:val="52"/>
        </w:rPr>
        <w:t>J'espère que ces petits conseils vous seront utiles</w:t>
      </w:r>
      <w:r w:rsidR="007527CA" w:rsidRPr="009808D2">
        <w:rPr>
          <w:rFonts w:ascii="Blackadder ITC" w:eastAsia="Times New Roman" w:hAnsi="Blackadder ITC"/>
          <w:b/>
          <w:bCs/>
          <w:i/>
          <w:iCs/>
          <w:sz w:val="52"/>
          <w:szCs w:val="52"/>
        </w:rPr>
        <w:t>.</w:t>
      </w:r>
    </w:p>
    <w:p w14:paraId="0BAA092B" w14:textId="45700FED" w:rsidR="000C2606" w:rsidRPr="000C2606" w:rsidRDefault="001E538C" w:rsidP="00096B7B">
      <w:pPr>
        <w:jc w:val="center"/>
        <w:rPr>
          <w:rFonts w:ascii="Blackadder ITC" w:eastAsia="Times New Roman" w:hAnsi="Blackadder ITC"/>
          <w:b/>
          <w:bCs/>
          <w:i/>
          <w:iCs/>
          <w:sz w:val="32"/>
          <w:szCs w:val="32"/>
        </w:rPr>
      </w:pPr>
      <w:r w:rsidRPr="000C2606">
        <w:rPr>
          <w:rFonts w:ascii="Blackadder ITC" w:eastAsia="Times New Roman" w:hAnsi="Blackadder ITC"/>
          <w:b/>
          <w:bCs/>
          <w:i/>
          <w:iCs/>
          <w:sz w:val="32"/>
          <w:szCs w:val="32"/>
        </w:rPr>
        <w:t xml:space="preserve">En aucun cas les conseils que je donne doivent altérer </w:t>
      </w:r>
      <w:r w:rsidR="000C2606" w:rsidRPr="000C2606">
        <w:rPr>
          <w:rFonts w:ascii="Blackadder ITC" w:eastAsia="Times New Roman" w:hAnsi="Blackadder ITC"/>
          <w:b/>
          <w:bCs/>
          <w:i/>
          <w:iCs/>
          <w:sz w:val="32"/>
          <w:szCs w:val="32"/>
        </w:rPr>
        <w:t>vos traitements. Quel que soit la douleur, le symptôme que vous pouvez ressentir, n’attendez pas pour consulter le corps médical qui vous suit. Au plus vite vous aurez un diagnostic au plus vite vous pourrez être pris en charge pour soulager les douleurs</w:t>
      </w:r>
      <w:r w:rsidR="000C2606">
        <w:rPr>
          <w:rFonts w:ascii="Blackadder ITC" w:eastAsia="Times New Roman" w:hAnsi="Blackadder ITC"/>
          <w:b/>
          <w:bCs/>
          <w:i/>
          <w:iCs/>
          <w:sz w:val="32"/>
          <w:szCs w:val="32"/>
        </w:rPr>
        <w:t>.</w:t>
      </w:r>
    </w:p>
    <w:p w14:paraId="5E1ECEFB" w14:textId="7F17838F" w:rsidR="00DA5DDD" w:rsidRDefault="00DA5DDD" w:rsidP="00E310F7">
      <w:pPr>
        <w:jc w:val="center"/>
        <w:rPr>
          <w:rFonts w:eastAsia="Times New Roman"/>
        </w:rPr>
      </w:pPr>
      <w:r w:rsidRPr="009808D2">
        <w:rPr>
          <w:rFonts w:ascii="Blackadder ITC" w:eastAsia="Times New Roman" w:hAnsi="Blackadder ITC"/>
          <w:b/>
          <w:bCs/>
          <w:i/>
          <w:iCs/>
          <w:sz w:val="52"/>
          <w:szCs w:val="52"/>
        </w:rPr>
        <w:br/>
      </w:r>
    </w:p>
    <w:p w14:paraId="548B6BA0" w14:textId="77777777" w:rsidR="00820A87" w:rsidRDefault="00820A87" w:rsidP="00E310F7">
      <w:pPr>
        <w:jc w:val="center"/>
        <w:rPr>
          <w:rFonts w:eastAsia="Times New Roman"/>
        </w:rPr>
      </w:pPr>
    </w:p>
    <w:p w14:paraId="7C0D1E74" w14:textId="77777777" w:rsidR="00820A87" w:rsidRDefault="00820A87" w:rsidP="00E310F7">
      <w:pPr>
        <w:jc w:val="center"/>
        <w:rPr>
          <w:rFonts w:eastAsia="Times New Roman"/>
        </w:rPr>
      </w:pPr>
    </w:p>
    <w:p w14:paraId="70195E97" w14:textId="77777777" w:rsidR="00820A87" w:rsidRDefault="00820A87" w:rsidP="00E310F7">
      <w:pPr>
        <w:jc w:val="center"/>
        <w:rPr>
          <w:rFonts w:eastAsia="Times New Roman"/>
        </w:rPr>
      </w:pPr>
    </w:p>
    <w:p w14:paraId="20D2C0A6" w14:textId="77777777" w:rsidR="00DA5DDD" w:rsidRPr="006A731D" w:rsidRDefault="00DA5DDD" w:rsidP="00E310F7">
      <w:pPr>
        <w:jc w:val="center"/>
        <w:rPr>
          <w:rFonts w:eastAsia="Times New Roman"/>
        </w:rPr>
      </w:pPr>
    </w:p>
    <w:sectPr w:rsidR="00DA5DDD" w:rsidRPr="006A731D" w:rsidSect="003807A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5413" w14:textId="77777777" w:rsidR="00C22274" w:rsidRDefault="00C22274" w:rsidP="00CB1834">
      <w:pPr>
        <w:spacing w:after="0" w:line="240" w:lineRule="auto"/>
      </w:pPr>
      <w:r>
        <w:separator/>
      </w:r>
    </w:p>
  </w:endnote>
  <w:endnote w:type="continuationSeparator" w:id="0">
    <w:p w14:paraId="5B74B90C" w14:textId="77777777" w:rsidR="00C22274" w:rsidRDefault="00C22274" w:rsidP="00CB1834">
      <w:pPr>
        <w:spacing w:after="0" w:line="240" w:lineRule="auto"/>
      </w:pPr>
      <w:r>
        <w:continuationSeparator/>
      </w:r>
    </w:p>
  </w:endnote>
  <w:endnote w:type="continuationNotice" w:id="1">
    <w:p w14:paraId="1E3985B8" w14:textId="77777777" w:rsidR="00C22274" w:rsidRDefault="00C22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lackadder ITC">
    <w:panose1 w:val="04020505050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72C1" w14:textId="77777777" w:rsidR="00CB1834" w:rsidRDefault="00CB18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D6CB" w14:textId="77777777" w:rsidR="00CB1834" w:rsidRDefault="00CB183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37D1" w14:textId="77777777" w:rsidR="00CB1834" w:rsidRDefault="00CB18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C983" w14:textId="77777777" w:rsidR="00C22274" w:rsidRDefault="00C22274" w:rsidP="00CB1834">
      <w:pPr>
        <w:spacing w:after="0" w:line="240" w:lineRule="auto"/>
      </w:pPr>
      <w:r>
        <w:separator/>
      </w:r>
    </w:p>
  </w:footnote>
  <w:footnote w:type="continuationSeparator" w:id="0">
    <w:p w14:paraId="507562E6" w14:textId="77777777" w:rsidR="00C22274" w:rsidRDefault="00C22274" w:rsidP="00CB1834">
      <w:pPr>
        <w:spacing w:after="0" w:line="240" w:lineRule="auto"/>
      </w:pPr>
      <w:r>
        <w:continuationSeparator/>
      </w:r>
    </w:p>
  </w:footnote>
  <w:footnote w:type="continuationNotice" w:id="1">
    <w:p w14:paraId="7540AE93" w14:textId="77777777" w:rsidR="00C22274" w:rsidRDefault="00C22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0D48" w14:textId="77777777" w:rsidR="00CB1834" w:rsidRDefault="00CB18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9579" w14:textId="77777777" w:rsidR="00CB1834" w:rsidRDefault="00CB183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BB39" w14:textId="77777777" w:rsidR="00CB1834" w:rsidRDefault="00CB18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1A"/>
    <w:multiLevelType w:val="hybridMultilevel"/>
    <w:tmpl w:val="422C1906"/>
    <w:lvl w:ilvl="0" w:tplc="040C0001">
      <w:start w:val="1"/>
      <w:numFmt w:val="bullet"/>
      <w:lvlText w:val=""/>
      <w:lvlJc w:val="left"/>
      <w:pPr>
        <w:ind w:left="1040" w:hanging="360"/>
      </w:pPr>
      <w:rPr>
        <w:rFonts w:ascii="Symbol" w:hAnsi="Symbol"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1" w15:restartNumberingAfterBreak="0">
    <w:nsid w:val="0ABE44EC"/>
    <w:multiLevelType w:val="hybridMultilevel"/>
    <w:tmpl w:val="B0486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E0757B"/>
    <w:multiLevelType w:val="multilevel"/>
    <w:tmpl w:val="5C0C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8037A"/>
    <w:multiLevelType w:val="hybridMultilevel"/>
    <w:tmpl w:val="FA702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BE4FEB"/>
    <w:multiLevelType w:val="multilevel"/>
    <w:tmpl w:val="692C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6281C"/>
    <w:multiLevelType w:val="hybridMultilevel"/>
    <w:tmpl w:val="ED800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446397">
    <w:abstractNumId w:val="0"/>
  </w:num>
  <w:num w:numId="2" w16cid:durableId="1853451323">
    <w:abstractNumId w:val="5"/>
  </w:num>
  <w:num w:numId="3" w16cid:durableId="279387154">
    <w:abstractNumId w:val="3"/>
  </w:num>
  <w:num w:numId="4" w16cid:durableId="1470510674">
    <w:abstractNumId w:val="2"/>
  </w:num>
  <w:num w:numId="5" w16cid:durableId="594479404">
    <w:abstractNumId w:val="4"/>
  </w:num>
  <w:num w:numId="6" w16cid:durableId="140733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DD"/>
    <w:rsid w:val="00021042"/>
    <w:rsid w:val="00025D1C"/>
    <w:rsid w:val="000421B4"/>
    <w:rsid w:val="000661C5"/>
    <w:rsid w:val="00073F4E"/>
    <w:rsid w:val="000935B4"/>
    <w:rsid w:val="00096B7B"/>
    <w:rsid w:val="000970A0"/>
    <w:rsid w:val="000A03D4"/>
    <w:rsid w:val="000C207A"/>
    <w:rsid w:val="000C2606"/>
    <w:rsid w:val="000C38CB"/>
    <w:rsid w:val="000E33F4"/>
    <w:rsid w:val="00105754"/>
    <w:rsid w:val="00123A01"/>
    <w:rsid w:val="0013281B"/>
    <w:rsid w:val="0013782A"/>
    <w:rsid w:val="0014408E"/>
    <w:rsid w:val="00163D13"/>
    <w:rsid w:val="001707C7"/>
    <w:rsid w:val="0018312F"/>
    <w:rsid w:val="00183AE4"/>
    <w:rsid w:val="001C4D47"/>
    <w:rsid w:val="001E538C"/>
    <w:rsid w:val="00211611"/>
    <w:rsid w:val="0022104F"/>
    <w:rsid w:val="00235C2C"/>
    <w:rsid w:val="00236490"/>
    <w:rsid w:val="0024246F"/>
    <w:rsid w:val="002667CC"/>
    <w:rsid w:val="0028455A"/>
    <w:rsid w:val="002B7F32"/>
    <w:rsid w:val="002E5027"/>
    <w:rsid w:val="002E7E29"/>
    <w:rsid w:val="00307344"/>
    <w:rsid w:val="00316692"/>
    <w:rsid w:val="003175EF"/>
    <w:rsid w:val="003212E6"/>
    <w:rsid w:val="00323765"/>
    <w:rsid w:val="00333466"/>
    <w:rsid w:val="003458E9"/>
    <w:rsid w:val="003478FD"/>
    <w:rsid w:val="003807AC"/>
    <w:rsid w:val="00380ED1"/>
    <w:rsid w:val="00391612"/>
    <w:rsid w:val="00397DD7"/>
    <w:rsid w:val="003A103D"/>
    <w:rsid w:val="003C6FB1"/>
    <w:rsid w:val="003F7222"/>
    <w:rsid w:val="00425644"/>
    <w:rsid w:val="00445F8B"/>
    <w:rsid w:val="0045675B"/>
    <w:rsid w:val="00472C45"/>
    <w:rsid w:val="00482C39"/>
    <w:rsid w:val="00484B68"/>
    <w:rsid w:val="0048692F"/>
    <w:rsid w:val="0049191D"/>
    <w:rsid w:val="0049596B"/>
    <w:rsid w:val="004A2E72"/>
    <w:rsid w:val="004B5F6E"/>
    <w:rsid w:val="004E28F6"/>
    <w:rsid w:val="00505D0E"/>
    <w:rsid w:val="005213E2"/>
    <w:rsid w:val="0052354B"/>
    <w:rsid w:val="00554161"/>
    <w:rsid w:val="00554C2C"/>
    <w:rsid w:val="005860AF"/>
    <w:rsid w:val="005C0DFB"/>
    <w:rsid w:val="005D1D39"/>
    <w:rsid w:val="005D43CE"/>
    <w:rsid w:val="005D55EB"/>
    <w:rsid w:val="006262D9"/>
    <w:rsid w:val="00627C3A"/>
    <w:rsid w:val="00635AC6"/>
    <w:rsid w:val="0066081B"/>
    <w:rsid w:val="00690E53"/>
    <w:rsid w:val="006A731D"/>
    <w:rsid w:val="006B7271"/>
    <w:rsid w:val="006B750F"/>
    <w:rsid w:val="006C5A8A"/>
    <w:rsid w:val="006C6AAB"/>
    <w:rsid w:val="006D447B"/>
    <w:rsid w:val="007015F1"/>
    <w:rsid w:val="007173B4"/>
    <w:rsid w:val="007216D3"/>
    <w:rsid w:val="00740A5C"/>
    <w:rsid w:val="0074452E"/>
    <w:rsid w:val="007527CA"/>
    <w:rsid w:val="00763B3F"/>
    <w:rsid w:val="00763F89"/>
    <w:rsid w:val="00776293"/>
    <w:rsid w:val="00781177"/>
    <w:rsid w:val="007932C8"/>
    <w:rsid w:val="007A5F2F"/>
    <w:rsid w:val="007A792A"/>
    <w:rsid w:val="007E0039"/>
    <w:rsid w:val="007F7B95"/>
    <w:rsid w:val="008100A0"/>
    <w:rsid w:val="00816424"/>
    <w:rsid w:val="00820A87"/>
    <w:rsid w:val="00821F5B"/>
    <w:rsid w:val="008245D0"/>
    <w:rsid w:val="0085267A"/>
    <w:rsid w:val="008955CD"/>
    <w:rsid w:val="008A0F83"/>
    <w:rsid w:val="008B4F53"/>
    <w:rsid w:val="008D61D9"/>
    <w:rsid w:val="008E36DE"/>
    <w:rsid w:val="00901A9E"/>
    <w:rsid w:val="00911D51"/>
    <w:rsid w:val="009333D5"/>
    <w:rsid w:val="009730B4"/>
    <w:rsid w:val="00976E20"/>
    <w:rsid w:val="009808D2"/>
    <w:rsid w:val="009E3F4C"/>
    <w:rsid w:val="009F0033"/>
    <w:rsid w:val="009F600D"/>
    <w:rsid w:val="00A10CB8"/>
    <w:rsid w:val="00A17B0A"/>
    <w:rsid w:val="00A4739E"/>
    <w:rsid w:val="00A61D37"/>
    <w:rsid w:val="00AA0DA5"/>
    <w:rsid w:val="00AA44FC"/>
    <w:rsid w:val="00AA624A"/>
    <w:rsid w:val="00AC7607"/>
    <w:rsid w:val="00AF02F7"/>
    <w:rsid w:val="00B00F73"/>
    <w:rsid w:val="00B33923"/>
    <w:rsid w:val="00B430FC"/>
    <w:rsid w:val="00B54ECF"/>
    <w:rsid w:val="00B568B5"/>
    <w:rsid w:val="00B569E1"/>
    <w:rsid w:val="00B860DB"/>
    <w:rsid w:val="00B935B0"/>
    <w:rsid w:val="00BA0535"/>
    <w:rsid w:val="00BD00A9"/>
    <w:rsid w:val="00BF5EAD"/>
    <w:rsid w:val="00C07C93"/>
    <w:rsid w:val="00C1448D"/>
    <w:rsid w:val="00C22274"/>
    <w:rsid w:val="00C460B5"/>
    <w:rsid w:val="00C5787C"/>
    <w:rsid w:val="00C63E07"/>
    <w:rsid w:val="00C65DF0"/>
    <w:rsid w:val="00CB1834"/>
    <w:rsid w:val="00CB19FD"/>
    <w:rsid w:val="00CD2E5F"/>
    <w:rsid w:val="00D00E8B"/>
    <w:rsid w:val="00D26AE3"/>
    <w:rsid w:val="00D50EB4"/>
    <w:rsid w:val="00D53CA5"/>
    <w:rsid w:val="00D656A3"/>
    <w:rsid w:val="00D70181"/>
    <w:rsid w:val="00D84103"/>
    <w:rsid w:val="00DA5DDD"/>
    <w:rsid w:val="00DE6EA1"/>
    <w:rsid w:val="00DF30F7"/>
    <w:rsid w:val="00E23ECC"/>
    <w:rsid w:val="00E25E08"/>
    <w:rsid w:val="00E310F7"/>
    <w:rsid w:val="00E55A5B"/>
    <w:rsid w:val="00E56AB4"/>
    <w:rsid w:val="00E57142"/>
    <w:rsid w:val="00E8322E"/>
    <w:rsid w:val="00E84F17"/>
    <w:rsid w:val="00E91EE4"/>
    <w:rsid w:val="00E94D08"/>
    <w:rsid w:val="00EB0E55"/>
    <w:rsid w:val="00EE245F"/>
    <w:rsid w:val="00F07FA7"/>
    <w:rsid w:val="00F57FBF"/>
    <w:rsid w:val="00F85EFD"/>
    <w:rsid w:val="00FA0695"/>
    <w:rsid w:val="00FC7C57"/>
    <w:rsid w:val="00FD76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DFD9"/>
  <w15:chartTrackingRefBased/>
  <w15:docId w15:val="{0261DAFA-00EE-6E4A-9DCB-45BFD396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5DDD"/>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Titre2">
    <w:name w:val="heading 2"/>
    <w:basedOn w:val="Normal"/>
    <w:next w:val="Normal"/>
    <w:link w:val="Titre2Car"/>
    <w:uiPriority w:val="9"/>
    <w:semiHidden/>
    <w:unhideWhenUsed/>
    <w:qFormat/>
    <w:rsid w:val="00DA5DDD"/>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Titre3">
    <w:name w:val="heading 3"/>
    <w:basedOn w:val="Normal"/>
    <w:next w:val="Normal"/>
    <w:link w:val="Titre3Car"/>
    <w:uiPriority w:val="9"/>
    <w:semiHidden/>
    <w:unhideWhenUsed/>
    <w:qFormat/>
    <w:rsid w:val="00DA5DDD"/>
    <w:pPr>
      <w:keepNext/>
      <w:keepLines/>
      <w:spacing w:before="160" w:after="80"/>
      <w:outlineLvl w:val="2"/>
    </w:pPr>
    <w:rPr>
      <w:rFonts w:eastAsiaTheme="majorEastAsia" w:cstheme="majorBidi"/>
      <w:color w:val="374C80" w:themeColor="accent1" w:themeShade="BF"/>
      <w:sz w:val="28"/>
      <w:szCs w:val="28"/>
    </w:rPr>
  </w:style>
  <w:style w:type="paragraph" w:styleId="Titre4">
    <w:name w:val="heading 4"/>
    <w:basedOn w:val="Normal"/>
    <w:next w:val="Normal"/>
    <w:link w:val="Titre4Car"/>
    <w:uiPriority w:val="9"/>
    <w:semiHidden/>
    <w:unhideWhenUsed/>
    <w:qFormat/>
    <w:rsid w:val="00DA5DDD"/>
    <w:pPr>
      <w:keepNext/>
      <w:keepLines/>
      <w:spacing w:before="80" w:after="40"/>
      <w:outlineLvl w:val="3"/>
    </w:pPr>
    <w:rPr>
      <w:rFonts w:eastAsiaTheme="majorEastAsia" w:cstheme="majorBidi"/>
      <w:i/>
      <w:iCs/>
      <w:color w:val="374C80" w:themeColor="accent1" w:themeShade="BF"/>
    </w:rPr>
  </w:style>
  <w:style w:type="paragraph" w:styleId="Titre5">
    <w:name w:val="heading 5"/>
    <w:basedOn w:val="Normal"/>
    <w:next w:val="Normal"/>
    <w:link w:val="Titre5Car"/>
    <w:uiPriority w:val="9"/>
    <w:semiHidden/>
    <w:unhideWhenUsed/>
    <w:qFormat/>
    <w:rsid w:val="00DA5DDD"/>
    <w:pPr>
      <w:keepNext/>
      <w:keepLines/>
      <w:spacing w:before="80" w:after="40"/>
      <w:outlineLvl w:val="4"/>
    </w:pPr>
    <w:rPr>
      <w:rFonts w:eastAsiaTheme="majorEastAsia" w:cstheme="majorBidi"/>
      <w:color w:val="374C80" w:themeColor="accent1" w:themeShade="BF"/>
    </w:rPr>
  </w:style>
  <w:style w:type="paragraph" w:styleId="Titre6">
    <w:name w:val="heading 6"/>
    <w:basedOn w:val="Normal"/>
    <w:next w:val="Normal"/>
    <w:link w:val="Titre6Car"/>
    <w:uiPriority w:val="9"/>
    <w:semiHidden/>
    <w:unhideWhenUsed/>
    <w:qFormat/>
    <w:rsid w:val="00DA5D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5D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5D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5D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5DDD"/>
    <w:rPr>
      <w:rFonts w:asciiTheme="majorHAnsi" w:eastAsiaTheme="majorEastAsia" w:hAnsiTheme="majorHAnsi" w:cstheme="majorBidi"/>
      <w:color w:val="374C80" w:themeColor="accent1" w:themeShade="BF"/>
      <w:sz w:val="40"/>
      <w:szCs w:val="40"/>
    </w:rPr>
  </w:style>
  <w:style w:type="character" w:customStyle="1" w:styleId="Titre2Car">
    <w:name w:val="Titre 2 Car"/>
    <w:basedOn w:val="Policepardfaut"/>
    <w:link w:val="Titre2"/>
    <w:uiPriority w:val="9"/>
    <w:semiHidden/>
    <w:rsid w:val="00DA5DDD"/>
    <w:rPr>
      <w:rFonts w:asciiTheme="majorHAnsi" w:eastAsiaTheme="majorEastAsia" w:hAnsiTheme="majorHAnsi" w:cstheme="majorBidi"/>
      <w:color w:val="374C80" w:themeColor="accent1" w:themeShade="BF"/>
      <w:sz w:val="32"/>
      <w:szCs w:val="32"/>
    </w:rPr>
  </w:style>
  <w:style w:type="character" w:customStyle="1" w:styleId="Titre3Car">
    <w:name w:val="Titre 3 Car"/>
    <w:basedOn w:val="Policepardfaut"/>
    <w:link w:val="Titre3"/>
    <w:uiPriority w:val="9"/>
    <w:semiHidden/>
    <w:rsid w:val="00DA5DDD"/>
    <w:rPr>
      <w:rFonts w:eastAsiaTheme="majorEastAsia" w:cstheme="majorBidi"/>
      <w:color w:val="374C80" w:themeColor="accent1" w:themeShade="BF"/>
      <w:sz w:val="28"/>
      <w:szCs w:val="28"/>
    </w:rPr>
  </w:style>
  <w:style w:type="character" w:customStyle="1" w:styleId="Titre4Car">
    <w:name w:val="Titre 4 Car"/>
    <w:basedOn w:val="Policepardfaut"/>
    <w:link w:val="Titre4"/>
    <w:uiPriority w:val="9"/>
    <w:semiHidden/>
    <w:rsid w:val="00DA5DDD"/>
    <w:rPr>
      <w:rFonts w:eastAsiaTheme="majorEastAsia" w:cstheme="majorBidi"/>
      <w:i/>
      <w:iCs/>
      <w:color w:val="374C80" w:themeColor="accent1" w:themeShade="BF"/>
    </w:rPr>
  </w:style>
  <w:style w:type="character" w:customStyle="1" w:styleId="Titre5Car">
    <w:name w:val="Titre 5 Car"/>
    <w:basedOn w:val="Policepardfaut"/>
    <w:link w:val="Titre5"/>
    <w:uiPriority w:val="9"/>
    <w:semiHidden/>
    <w:rsid w:val="00DA5DDD"/>
    <w:rPr>
      <w:rFonts w:eastAsiaTheme="majorEastAsia" w:cstheme="majorBidi"/>
      <w:color w:val="374C80" w:themeColor="accent1" w:themeShade="BF"/>
    </w:rPr>
  </w:style>
  <w:style w:type="character" w:customStyle="1" w:styleId="Titre6Car">
    <w:name w:val="Titre 6 Car"/>
    <w:basedOn w:val="Policepardfaut"/>
    <w:link w:val="Titre6"/>
    <w:uiPriority w:val="9"/>
    <w:semiHidden/>
    <w:rsid w:val="00DA5D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5D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5D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5DDD"/>
    <w:rPr>
      <w:rFonts w:eastAsiaTheme="majorEastAsia" w:cstheme="majorBidi"/>
      <w:color w:val="272727" w:themeColor="text1" w:themeTint="D8"/>
    </w:rPr>
  </w:style>
  <w:style w:type="paragraph" w:styleId="Titre">
    <w:name w:val="Title"/>
    <w:basedOn w:val="Normal"/>
    <w:next w:val="Normal"/>
    <w:link w:val="TitreCar"/>
    <w:uiPriority w:val="10"/>
    <w:qFormat/>
    <w:rsid w:val="00DA5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5D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5D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5D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5DDD"/>
    <w:pPr>
      <w:spacing w:before="160"/>
      <w:jc w:val="center"/>
    </w:pPr>
    <w:rPr>
      <w:i/>
      <w:iCs/>
      <w:color w:val="404040" w:themeColor="text1" w:themeTint="BF"/>
    </w:rPr>
  </w:style>
  <w:style w:type="character" w:customStyle="1" w:styleId="CitationCar">
    <w:name w:val="Citation Car"/>
    <w:basedOn w:val="Policepardfaut"/>
    <w:link w:val="Citation"/>
    <w:uiPriority w:val="29"/>
    <w:rsid w:val="00DA5DDD"/>
    <w:rPr>
      <w:i/>
      <w:iCs/>
      <w:color w:val="404040" w:themeColor="text1" w:themeTint="BF"/>
    </w:rPr>
  </w:style>
  <w:style w:type="paragraph" w:styleId="Paragraphedeliste">
    <w:name w:val="List Paragraph"/>
    <w:basedOn w:val="Normal"/>
    <w:uiPriority w:val="34"/>
    <w:qFormat/>
    <w:rsid w:val="00DA5DDD"/>
    <w:pPr>
      <w:ind w:left="720"/>
      <w:contextualSpacing/>
    </w:pPr>
  </w:style>
  <w:style w:type="character" w:styleId="Accentuationintense">
    <w:name w:val="Intense Emphasis"/>
    <w:basedOn w:val="Policepardfaut"/>
    <w:uiPriority w:val="21"/>
    <w:qFormat/>
    <w:rsid w:val="00DA5DDD"/>
    <w:rPr>
      <w:i/>
      <w:iCs/>
      <w:color w:val="374C80" w:themeColor="accent1" w:themeShade="BF"/>
    </w:rPr>
  </w:style>
  <w:style w:type="paragraph" w:styleId="Citationintense">
    <w:name w:val="Intense Quote"/>
    <w:basedOn w:val="Normal"/>
    <w:next w:val="Normal"/>
    <w:link w:val="CitationintenseCar"/>
    <w:uiPriority w:val="30"/>
    <w:qFormat/>
    <w:rsid w:val="00DA5DDD"/>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CitationintenseCar">
    <w:name w:val="Citation intense Car"/>
    <w:basedOn w:val="Policepardfaut"/>
    <w:link w:val="Citationintense"/>
    <w:uiPriority w:val="30"/>
    <w:rsid w:val="00DA5DDD"/>
    <w:rPr>
      <w:i/>
      <w:iCs/>
      <w:color w:val="374C80" w:themeColor="accent1" w:themeShade="BF"/>
    </w:rPr>
  </w:style>
  <w:style w:type="character" w:styleId="Rfrenceintense">
    <w:name w:val="Intense Reference"/>
    <w:basedOn w:val="Policepardfaut"/>
    <w:uiPriority w:val="32"/>
    <w:qFormat/>
    <w:rsid w:val="00DA5DDD"/>
    <w:rPr>
      <w:b/>
      <w:bCs/>
      <w:smallCaps/>
      <w:color w:val="374C80" w:themeColor="accent1" w:themeShade="BF"/>
      <w:spacing w:val="5"/>
    </w:rPr>
  </w:style>
  <w:style w:type="paragraph" w:styleId="En-tte">
    <w:name w:val="header"/>
    <w:basedOn w:val="Normal"/>
    <w:link w:val="En-tteCar"/>
    <w:uiPriority w:val="99"/>
    <w:unhideWhenUsed/>
    <w:rsid w:val="00CB1834"/>
    <w:pPr>
      <w:tabs>
        <w:tab w:val="center" w:pos="4536"/>
        <w:tab w:val="right" w:pos="9072"/>
      </w:tabs>
      <w:spacing w:after="0" w:line="240" w:lineRule="auto"/>
    </w:pPr>
  </w:style>
  <w:style w:type="character" w:customStyle="1" w:styleId="En-tteCar">
    <w:name w:val="En-tête Car"/>
    <w:basedOn w:val="Policepardfaut"/>
    <w:link w:val="En-tte"/>
    <w:uiPriority w:val="99"/>
    <w:rsid w:val="00CB1834"/>
  </w:style>
  <w:style w:type="paragraph" w:styleId="Pieddepage">
    <w:name w:val="footer"/>
    <w:basedOn w:val="Normal"/>
    <w:link w:val="PieddepageCar"/>
    <w:uiPriority w:val="99"/>
    <w:unhideWhenUsed/>
    <w:rsid w:val="00CB18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1834"/>
  </w:style>
  <w:style w:type="character" w:styleId="Lienhypertexte">
    <w:name w:val="Hyperlink"/>
    <w:basedOn w:val="Policepardfaut"/>
    <w:uiPriority w:val="99"/>
    <w:unhideWhenUsed/>
    <w:rsid w:val="006B7271"/>
    <w:rPr>
      <w:color w:val="9454C3" w:themeColor="hyperlink"/>
      <w:u w:val="single"/>
    </w:rPr>
  </w:style>
  <w:style w:type="character" w:styleId="Mentionnonrsolue">
    <w:name w:val="Unresolved Mention"/>
    <w:basedOn w:val="Policepardfaut"/>
    <w:uiPriority w:val="99"/>
    <w:semiHidden/>
    <w:unhideWhenUsed/>
    <w:rsid w:val="006B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eader" Target="header3.xml" /></Relationships>
</file>

<file path=word/theme/theme1.xml><?xml version="1.0" encoding="utf-8"?>
<a:theme xmlns:a="http://schemas.openxmlformats.org/drawingml/2006/main" name="Secteur">
  <a:themeElements>
    <a:clrScheme name="Bleu chau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ecteur">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cteur">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489</Words>
  <Characters>2693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 Giacomini</dc:creator>
  <cp:keywords/>
  <dc:description/>
  <cp:lastModifiedBy>Marylene Giacomini</cp:lastModifiedBy>
  <cp:revision>15</cp:revision>
  <dcterms:created xsi:type="dcterms:W3CDTF">2025-03-03T13:22:00Z</dcterms:created>
  <dcterms:modified xsi:type="dcterms:W3CDTF">2025-03-03T16:48:00Z</dcterms:modified>
</cp:coreProperties>
</file>